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09135433"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WG1 #</w:t>
      </w:r>
      <w:r w:rsidR="00375359" w:rsidRPr="00CA65F5">
        <w:rPr>
          <w:rFonts w:eastAsiaTheme="minorHAnsi" w:cs="Arial"/>
          <w:b/>
          <w:bCs/>
          <w:sz w:val="24"/>
          <w:szCs w:val="24"/>
          <w:lang w:val="en-US"/>
        </w:rPr>
        <w:t>10</w:t>
      </w:r>
      <w:r w:rsidR="00400C37">
        <w:rPr>
          <w:rFonts w:eastAsiaTheme="minorHAnsi" w:cs="Arial"/>
          <w:b/>
          <w:bCs/>
          <w:sz w:val="24"/>
          <w:szCs w:val="24"/>
          <w:lang w:val="en-US"/>
        </w:rPr>
        <w:t>3</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6C5181" w:rsidRPr="006C5181">
        <w:rPr>
          <w:rFonts w:eastAsiaTheme="minorHAnsi" w:cs="Arial"/>
          <w:b/>
          <w:bCs/>
          <w:sz w:val="24"/>
          <w:szCs w:val="24"/>
          <w:lang w:val="en-US"/>
        </w:rPr>
        <w:t>R1-</w:t>
      </w:r>
      <w:r w:rsidR="00400C37" w:rsidRPr="006C5181">
        <w:rPr>
          <w:rFonts w:eastAsiaTheme="minorHAnsi" w:cs="Arial"/>
          <w:b/>
          <w:bCs/>
          <w:sz w:val="24"/>
          <w:szCs w:val="24"/>
          <w:lang w:val="en-US"/>
        </w:rPr>
        <w:t>200</w:t>
      </w:r>
      <w:r w:rsidR="00A76D62">
        <w:rPr>
          <w:rFonts w:eastAsiaTheme="minorHAnsi" w:cs="Arial"/>
          <w:b/>
          <w:bCs/>
          <w:sz w:val="24"/>
          <w:szCs w:val="24"/>
          <w:lang w:val="en-US"/>
        </w:rPr>
        <w:t>868</w:t>
      </w:r>
      <w:r w:rsidR="00423704">
        <w:rPr>
          <w:rFonts w:eastAsiaTheme="minorHAnsi" w:cs="Arial"/>
          <w:b/>
          <w:bCs/>
          <w:sz w:val="24"/>
          <w:szCs w:val="24"/>
          <w:lang w:val="en-US"/>
        </w:rPr>
        <w:t>7</w:t>
      </w:r>
    </w:p>
    <w:p w14:paraId="39B7D975" w14:textId="77777777" w:rsidR="00164016" w:rsidRDefault="00164016" w:rsidP="00164016">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 xml:space="preserve">e-Meeting, </w:t>
      </w:r>
      <w:r w:rsidRPr="00F51224">
        <w:rPr>
          <w:rFonts w:eastAsiaTheme="minorEastAsia" w:cs="Arial"/>
          <w:b/>
          <w:bCs/>
          <w:sz w:val="24"/>
          <w:szCs w:val="22"/>
          <w:lang w:val="en-US" w:eastAsia="ko-KR"/>
        </w:rPr>
        <w:t>October 26th – November 13th, 2020</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4631537A"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w:t>
      </w:r>
      <w:r w:rsidR="00423704">
        <w:rPr>
          <w:rFonts w:cs="Arial"/>
          <w:b/>
          <w:bCs/>
          <w:sz w:val="24"/>
          <w:szCs w:val="24"/>
          <w:lang w:val="en-US"/>
        </w:rPr>
        <w:t>4</w:t>
      </w:r>
    </w:p>
    <w:p w14:paraId="186753AF" w14:textId="3BDFC73C" w:rsidR="00FA20F7" w:rsidRPr="00CA65F5" w:rsidRDefault="0092027E" w:rsidP="00690F53">
      <w:pPr>
        <w:tabs>
          <w:tab w:val="left" w:pos="1985"/>
        </w:tabs>
        <w:rPr>
          <w:rFonts w:ascii="Arial" w:hAnsi="Arial" w:cs="Arial"/>
          <w:bCs/>
        </w:rPr>
      </w:pPr>
      <w:r w:rsidRPr="00CA65F5">
        <w:rPr>
          <w:rFonts w:ascii="Arial" w:hAnsi="Arial" w:cs="Arial"/>
          <w:b/>
          <w:bCs/>
        </w:rPr>
        <w:t>Source:</w:t>
      </w:r>
      <w:r w:rsidRPr="00CA65F5">
        <w:rPr>
          <w:rFonts w:ascii="Arial" w:hAnsi="Arial" w:cs="Arial"/>
          <w:b/>
          <w:bCs/>
        </w:rPr>
        <w:tab/>
        <w:t>InterDigital</w:t>
      </w:r>
      <w:r w:rsidR="0017254A">
        <w:rPr>
          <w:rFonts w:ascii="Arial" w:hAnsi="Arial" w:cs="Arial"/>
          <w:b/>
          <w:bCs/>
        </w:rPr>
        <w:t>,</w:t>
      </w:r>
      <w:r w:rsidR="00E17A3B" w:rsidRPr="00CA65F5">
        <w:rPr>
          <w:rFonts w:ascii="Arial" w:hAnsi="Arial" w:cs="Arial"/>
          <w:b/>
          <w:bCs/>
        </w:rPr>
        <w:t xml:space="preserve"> </w:t>
      </w:r>
      <w:r w:rsidR="001E0E46" w:rsidRPr="00CA65F5">
        <w:rPr>
          <w:rFonts w:ascii="Arial" w:hAnsi="Arial" w:cs="Arial"/>
          <w:b/>
          <w:bCs/>
        </w:rPr>
        <w:t>Inc.</w:t>
      </w:r>
    </w:p>
    <w:p w14:paraId="4F02292E" w14:textId="13D9E161" w:rsidR="00FA20F7" w:rsidRPr="00CA65F5" w:rsidRDefault="00FA20F7" w:rsidP="00690F53">
      <w:pPr>
        <w:ind w:left="1985" w:hanging="1985"/>
        <w:rPr>
          <w:rFonts w:ascii="Arial" w:hAnsi="Arial" w:cs="Arial"/>
          <w:b/>
          <w:bCs/>
          <w:lang w:val="en-GB"/>
        </w:rPr>
      </w:pPr>
      <w:r w:rsidRPr="00CA65F5">
        <w:rPr>
          <w:rFonts w:ascii="Arial" w:hAnsi="Arial" w:cs="Arial"/>
          <w:b/>
          <w:bCs/>
        </w:rPr>
        <w:t>Title:</w:t>
      </w:r>
      <w:r w:rsidRPr="00CA65F5">
        <w:rPr>
          <w:rFonts w:ascii="Arial" w:hAnsi="Arial" w:cs="Arial"/>
          <w:b/>
          <w:bCs/>
        </w:rPr>
        <w:tab/>
      </w:r>
      <w:r w:rsidR="00470A20" w:rsidRPr="00470A20">
        <w:rPr>
          <w:rFonts w:ascii="Arial" w:hAnsi="Arial" w:cs="Arial"/>
          <w:b/>
          <w:bCs/>
        </w:rPr>
        <w:t>Framework and Principles for Reduced Capability</w:t>
      </w:r>
    </w:p>
    <w:p w14:paraId="20F2A3ED" w14:textId="6E198039" w:rsidR="00FA20F7" w:rsidRPr="003630F9" w:rsidRDefault="00A51E32" w:rsidP="00690F53">
      <w:pPr>
        <w:ind w:left="1985" w:hanging="1985"/>
        <w:rPr>
          <w:rFonts w:ascii="Arial" w:hAnsi="Arial" w:cs="Arial"/>
          <w:b/>
          <w:bCs/>
        </w:rPr>
      </w:pPr>
      <w:r w:rsidRPr="00CA65F5">
        <w:rPr>
          <w:rFonts w:ascii="Arial" w:hAnsi="Arial" w:cs="Arial"/>
          <w:b/>
          <w:bCs/>
        </w:rPr>
        <w:t>Document for:</w:t>
      </w:r>
      <w:r w:rsidRPr="00CA65F5">
        <w:rPr>
          <w:rFonts w:ascii="Arial" w:hAnsi="Arial" w:cs="Arial"/>
          <w:b/>
          <w:bCs/>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73733736" w14:textId="1721C29D" w:rsidR="001C4C20" w:rsidRPr="00FD2012" w:rsidRDefault="00FD2012" w:rsidP="004955DA">
      <w:pPr>
        <w:contextualSpacing/>
        <w:jc w:val="both"/>
        <w:rPr>
          <w:rFonts w:cs="Times New Roman"/>
        </w:rPr>
      </w:pPr>
      <w:r w:rsidRPr="00FD2012">
        <w:rPr>
          <w:rFonts w:cs="Times New Roman"/>
        </w:rPr>
        <w:t xml:space="preserve">In RAN#86, a new SI on reduced capability </w:t>
      </w:r>
      <w:r w:rsidR="00E67C6C">
        <w:rPr>
          <w:rFonts w:cs="Times New Roman"/>
        </w:rPr>
        <w:t xml:space="preserve">(RedCap) </w:t>
      </w:r>
      <w:r w:rsidRPr="00FD2012">
        <w:rPr>
          <w:rFonts w:cs="Times New Roman"/>
        </w:rPr>
        <w:t xml:space="preserve">NR devices was approved [1]. </w:t>
      </w:r>
      <w:r w:rsidR="008A2C13">
        <w:rPr>
          <w:rFonts w:cs="Times New Roman"/>
        </w:rPr>
        <w:t xml:space="preserve">Two </w:t>
      </w:r>
      <w:r w:rsidR="00A83A2E" w:rsidRPr="00FD2012">
        <w:rPr>
          <w:rFonts w:cs="Times New Roman"/>
        </w:rPr>
        <w:t>objective</w:t>
      </w:r>
      <w:r w:rsidR="008A2C13">
        <w:rPr>
          <w:rFonts w:cs="Times New Roman"/>
        </w:rPr>
        <w:t>s</w:t>
      </w:r>
      <w:r w:rsidR="00A83A2E" w:rsidRPr="00FD2012">
        <w:rPr>
          <w:rFonts w:cs="Times New Roman"/>
        </w:rPr>
        <w:t xml:space="preserve"> of the SI </w:t>
      </w:r>
      <w:r w:rsidR="008A2C13">
        <w:rPr>
          <w:rFonts w:cs="Times New Roman"/>
        </w:rPr>
        <w:t>are</w:t>
      </w:r>
    </w:p>
    <w:p w14:paraId="0533C5F9" w14:textId="77777777" w:rsidR="008A2C13" w:rsidRPr="009A742B" w:rsidRDefault="008A2C13" w:rsidP="004955DA">
      <w:pPr>
        <w:pStyle w:val="ListParagraph"/>
        <w:numPr>
          <w:ilvl w:val="0"/>
          <w:numId w:val="31"/>
        </w:numPr>
        <w:ind w:right="-99"/>
        <w:jc w:val="both"/>
        <w:rPr>
          <w:rFonts w:eastAsia="SimSun" w:cs="Times New Roman"/>
          <w:i/>
          <w:iCs/>
          <w:lang w:eastAsia="ja-JP"/>
        </w:rPr>
      </w:pPr>
      <w:r w:rsidRPr="0059535E">
        <w:rPr>
          <w:rFonts w:eastAsia="SimSun" w:cs="Times New Roman"/>
          <w:i/>
          <w:iCs/>
          <w:lang w:eastAsia="ja-JP"/>
        </w:rPr>
        <w:t>Study standardization framework and principles for how to define and constrain such reduced capabilities – considering definition of a limited set of one or more device types and considering how to ensure those device types are only used for</w:t>
      </w:r>
      <w:r w:rsidRPr="009A742B">
        <w:rPr>
          <w:rFonts w:eastAsia="SimSun" w:cs="Times New Roman"/>
          <w:i/>
          <w:iCs/>
          <w:lang w:eastAsia="ja-JP"/>
        </w:rPr>
        <w:t xml:space="preserve"> the intended use cases [RAN2, RAN1].</w:t>
      </w:r>
    </w:p>
    <w:p w14:paraId="2E3E9921" w14:textId="77777777" w:rsidR="008A2C13" w:rsidRPr="009A742B" w:rsidRDefault="008A2C13" w:rsidP="004955DA">
      <w:pPr>
        <w:pStyle w:val="ListParagraph"/>
        <w:numPr>
          <w:ilvl w:val="0"/>
          <w:numId w:val="31"/>
        </w:numPr>
        <w:ind w:right="-99"/>
        <w:jc w:val="both"/>
        <w:rPr>
          <w:rFonts w:eastAsia="SimSun" w:cs="Times New Roman"/>
          <w:i/>
          <w:iCs/>
          <w:lang w:eastAsia="ja-JP"/>
        </w:rPr>
      </w:pPr>
      <w:r w:rsidRPr="009A742B">
        <w:rPr>
          <w:rFonts w:eastAsia="SimSun" w:cs="Times New Roman"/>
          <w:i/>
          <w:iCs/>
          <w:lang w:eastAsia="ja-JP"/>
        </w:rPr>
        <w:t>Study functionality that will allow devices with reduced capabilities to be explicitly identifiable to networks and network operators, and allow operators to restrict their access, if desired [RAN2, RAN1].</w:t>
      </w:r>
    </w:p>
    <w:p w14:paraId="709D5E95" w14:textId="2BB78F74" w:rsidR="00E67C6C" w:rsidRDefault="00E67C6C" w:rsidP="004955DA">
      <w:pPr>
        <w:contextualSpacing/>
        <w:jc w:val="both"/>
        <w:rPr>
          <w:rFonts w:cs="Times New Roman"/>
        </w:rPr>
      </w:pPr>
    </w:p>
    <w:p w14:paraId="754C9328" w14:textId="0C423328" w:rsidR="004955DA" w:rsidRDefault="004955DA" w:rsidP="004955DA">
      <w:pPr>
        <w:jc w:val="both"/>
        <w:rPr>
          <w:rFonts w:cs="Times New Roman"/>
        </w:rPr>
      </w:pPr>
      <w:r w:rsidRPr="004955DA">
        <w:rPr>
          <w:rFonts w:cs="Times New Roman"/>
        </w:rPr>
        <w:t>In the previous meeting [2], it was agreed that how to constrain RedCap devices to be used only for intended use cases is deprioritized in RAN1:</w:t>
      </w:r>
    </w:p>
    <w:p w14:paraId="62B14BF6" w14:textId="77777777" w:rsidR="004955DA" w:rsidRPr="004955DA" w:rsidRDefault="004955DA" w:rsidP="004955DA">
      <w:pPr>
        <w:jc w:val="both"/>
        <w:rPr>
          <w:rFonts w:cs="Times New Roman"/>
        </w:rPr>
      </w:pPr>
    </w:p>
    <w:p w14:paraId="4948897E" w14:textId="77777777" w:rsidR="004955DA" w:rsidRPr="004955DA" w:rsidRDefault="004955DA" w:rsidP="004955DA">
      <w:pPr>
        <w:jc w:val="both"/>
        <w:rPr>
          <w:rFonts w:cs="Times New Roman"/>
          <w:i/>
          <w:lang w:eastAsia="x-none"/>
        </w:rPr>
      </w:pPr>
      <w:r w:rsidRPr="004955DA">
        <w:rPr>
          <w:rFonts w:cs="Times New Roman"/>
          <w:i/>
          <w:highlight w:val="green"/>
          <w:lang w:eastAsia="x-none"/>
        </w:rPr>
        <w:t>Agreement</w:t>
      </w:r>
      <w:r w:rsidRPr="004955DA">
        <w:rPr>
          <w:rFonts w:cs="Times New Roman"/>
          <w:i/>
          <w:lang w:eastAsia="x-none"/>
        </w:rPr>
        <w:t>:</w:t>
      </w:r>
    </w:p>
    <w:p w14:paraId="347D62EA" w14:textId="7ECF827B" w:rsidR="004955DA" w:rsidRPr="004955DA" w:rsidRDefault="004955DA" w:rsidP="004955DA">
      <w:pPr>
        <w:jc w:val="both"/>
        <w:rPr>
          <w:rFonts w:cs="Times New Roman"/>
        </w:rPr>
      </w:pPr>
      <w:r w:rsidRPr="004955DA">
        <w:rPr>
          <w:rFonts w:cs="Times New Roman"/>
          <w:i/>
        </w:rPr>
        <w:t>Studying how to constrain RedCap devices to be used only for the intended use cases is deprioritized in RAN1 </w:t>
      </w:r>
    </w:p>
    <w:p w14:paraId="43FC88A7" w14:textId="77777777" w:rsidR="004955DA" w:rsidRPr="009902E7" w:rsidRDefault="004955DA" w:rsidP="004955DA">
      <w:pPr>
        <w:jc w:val="both"/>
        <w:rPr>
          <w:sz w:val="6"/>
          <w:szCs w:val="6"/>
        </w:rPr>
      </w:pPr>
    </w:p>
    <w:p w14:paraId="4A133D31" w14:textId="0EB61BF9" w:rsidR="004955DA" w:rsidRDefault="004955DA" w:rsidP="004955DA">
      <w:pPr>
        <w:jc w:val="both"/>
      </w:pPr>
      <w:r>
        <w:t>Therefore, this contribution addresses the former aspect of the SID object: the definition of a limited set of one or more device types.</w:t>
      </w:r>
    </w:p>
    <w:p w14:paraId="22339CAB" w14:textId="5784AE4F" w:rsidR="009445CE" w:rsidRDefault="00B91E34" w:rsidP="000C5D3A">
      <w:pPr>
        <w:pStyle w:val="Heading1"/>
        <w:pBdr>
          <w:top w:val="single" w:sz="12" w:space="5" w:color="auto"/>
        </w:pBdr>
        <w:spacing w:after="160" w:line="259" w:lineRule="auto"/>
        <w:rPr>
          <w:rFonts w:cs="Arial"/>
          <w:szCs w:val="32"/>
        </w:rPr>
      </w:pPr>
      <w:r>
        <w:rPr>
          <w:rFonts w:cs="Arial"/>
          <w:szCs w:val="32"/>
        </w:rPr>
        <w:t>Discussion</w:t>
      </w:r>
    </w:p>
    <w:p w14:paraId="281F9EBB" w14:textId="02D7C226" w:rsidR="004A1AF1" w:rsidRPr="004A1AF1" w:rsidRDefault="004A1AF1" w:rsidP="004A1AF1">
      <w:pPr>
        <w:jc w:val="both"/>
        <w:rPr>
          <w:rFonts w:cs="Times New Roman"/>
        </w:rPr>
      </w:pPr>
      <w:r w:rsidRPr="004A1AF1">
        <w:rPr>
          <w:rFonts w:cs="Times New Roman"/>
        </w:rPr>
        <w:t xml:space="preserve">The reduced capability SID describes a diverse set of use cases, including industrial wireless sensors, video surveillance, and wearables. Given the ubiquitous nature of these devices it can be assumed that a cell may support both reduced capability and standard UEs simultaneously. However, there may be certain situations where the network would want to restrict access to reduced capability UEs, for example, under heavy cell load or to prioritize URLLC IIoT devices over a </w:t>
      </w:r>
      <w:r>
        <w:rPr>
          <w:rFonts w:cs="Times New Roman"/>
        </w:rPr>
        <w:t>R</w:t>
      </w:r>
      <w:r w:rsidRPr="004A1AF1">
        <w:rPr>
          <w:rFonts w:cs="Times New Roman"/>
        </w:rPr>
        <w:t>ed</w:t>
      </w:r>
      <w:r>
        <w:rPr>
          <w:rFonts w:cs="Times New Roman"/>
        </w:rPr>
        <w:t>C</w:t>
      </w:r>
      <w:r w:rsidRPr="004A1AF1">
        <w:rPr>
          <w:rFonts w:cs="Times New Roman"/>
        </w:rPr>
        <w:t xml:space="preserve">ap industrial sensor. Therefore, the ability to efficiently check whether a UE is reduced capability or not during initial access (as agreed in previous RAN2 meeting) is an important tool for cell load control. </w:t>
      </w:r>
    </w:p>
    <w:p w14:paraId="601940D3" w14:textId="77777777" w:rsidR="004A1AF1" w:rsidRPr="004A1AF1" w:rsidRDefault="004A1AF1" w:rsidP="004A1AF1">
      <w:pPr>
        <w:ind w:left="1440" w:hanging="1440"/>
        <w:jc w:val="both"/>
        <w:rPr>
          <w:rFonts w:cs="Times New Roman"/>
          <w:b/>
          <w:bCs/>
          <w:lang w:eastAsia="sv-SE"/>
        </w:rPr>
      </w:pPr>
      <w:r w:rsidRPr="004A1AF1">
        <w:rPr>
          <w:rFonts w:cs="Times New Roman"/>
          <w:b/>
          <w:bCs/>
          <w:u w:val="single"/>
          <w:lang w:eastAsia="sv-SE"/>
        </w:rPr>
        <w:t>Observation 1:</w:t>
      </w:r>
      <w:r w:rsidRPr="004A1AF1">
        <w:rPr>
          <w:rFonts w:cs="Times New Roman"/>
          <w:b/>
          <w:bCs/>
          <w:lang w:eastAsia="sv-SE"/>
        </w:rPr>
        <w:t xml:space="preserve"> </w:t>
      </w:r>
      <w:r w:rsidRPr="004A1AF1">
        <w:rPr>
          <w:rFonts w:cs="Times New Roman"/>
          <w:b/>
          <w:bCs/>
          <w:lang w:eastAsia="sv-SE"/>
        </w:rPr>
        <w:tab/>
        <w:t>The ability to identify and possibly restrict access to reduced capability UEs during initial access is an important tool for load control.</w:t>
      </w:r>
    </w:p>
    <w:p w14:paraId="43D8D723" w14:textId="55EE66AB" w:rsidR="004A1AF1" w:rsidRDefault="004A1AF1" w:rsidP="004A1AF1">
      <w:pPr>
        <w:jc w:val="both"/>
        <w:rPr>
          <w:rFonts w:cs="Times New Roman"/>
        </w:rPr>
      </w:pPr>
      <w:r w:rsidRPr="004A1AF1">
        <w:rPr>
          <w:rFonts w:cs="Times New Roman"/>
        </w:rPr>
        <w:t>A straightforward method to identify such reduced capability UEs is via a device type identifier, distinguishing the device from a normal UE during initial access. According to agreements from the previous RAN2#111-e meeting [3], to avoid market fragmentation</w:t>
      </w:r>
      <w:r w:rsidR="006239FD">
        <w:rPr>
          <w:rFonts w:cs="Times New Roman"/>
        </w:rPr>
        <w:t>,</w:t>
      </w:r>
      <w:r w:rsidRPr="004A1AF1">
        <w:rPr>
          <w:rFonts w:cs="Times New Roman"/>
        </w:rPr>
        <w:t xml:space="preserve"> the number of new reduced capability device type(s) should be minimized and used only when essential for UE access control:</w:t>
      </w:r>
    </w:p>
    <w:p w14:paraId="48A2A52C" w14:textId="77777777" w:rsidR="005D3877" w:rsidRPr="004A1AF1" w:rsidRDefault="005D3877" w:rsidP="004A1AF1">
      <w:pPr>
        <w:jc w:val="both"/>
        <w:rPr>
          <w:rFonts w:cs="Times New Roman"/>
        </w:rPr>
      </w:pPr>
    </w:p>
    <w:p w14:paraId="70C2368C" w14:textId="77777777" w:rsidR="004A1AF1" w:rsidRPr="004A1AF1" w:rsidRDefault="004A1AF1" w:rsidP="004A1AF1">
      <w:pPr>
        <w:pStyle w:val="Doc-text2"/>
        <w:numPr>
          <w:ilvl w:val="0"/>
          <w:numId w:val="42"/>
        </w:numPr>
        <w:pBdr>
          <w:top w:val="single" w:sz="4" w:space="1" w:color="auto"/>
          <w:left w:val="single" w:sz="4" w:space="0" w:color="auto"/>
          <w:bottom w:val="single" w:sz="4" w:space="1" w:color="auto"/>
          <w:right w:val="single" w:sz="4" w:space="4" w:color="auto"/>
        </w:pBdr>
        <w:jc w:val="both"/>
        <w:rPr>
          <w:rFonts w:ascii="Times New Roman" w:hAnsi="Times New Roman" w:cs="Times New Roman"/>
          <w:i/>
          <w:sz w:val="22"/>
        </w:rPr>
      </w:pPr>
      <w:r w:rsidRPr="004A1AF1">
        <w:rPr>
          <w:rFonts w:ascii="Times New Roman" w:hAnsi="Times New Roman" w:cs="Times New Roman"/>
          <w:i/>
          <w:sz w:val="22"/>
        </w:rPr>
        <w:lastRenderedPageBreak/>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65B39B15" w14:textId="77777777" w:rsidR="004A1AF1" w:rsidRPr="004A1AF1" w:rsidRDefault="004A1AF1" w:rsidP="004A1AF1">
      <w:pPr>
        <w:jc w:val="both"/>
        <w:rPr>
          <w:rFonts w:cs="Times New Roman"/>
        </w:rPr>
      </w:pPr>
    </w:p>
    <w:p w14:paraId="36516925" w14:textId="77777777" w:rsidR="004A1AF1" w:rsidRPr="005D3877" w:rsidRDefault="004A1AF1" w:rsidP="004A1AF1">
      <w:pPr>
        <w:ind w:left="1440" w:hanging="1440"/>
        <w:jc w:val="both"/>
        <w:rPr>
          <w:rFonts w:cs="Times New Roman"/>
          <w:b/>
          <w:bCs/>
          <w:lang w:eastAsia="sv-SE"/>
        </w:rPr>
      </w:pPr>
      <w:r w:rsidRPr="005D3877">
        <w:rPr>
          <w:rFonts w:cs="Times New Roman"/>
          <w:b/>
          <w:bCs/>
          <w:u w:val="single"/>
          <w:lang w:eastAsia="sv-SE"/>
        </w:rPr>
        <w:t>Observation 2:</w:t>
      </w:r>
      <w:r w:rsidRPr="005D3877">
        <w:rPr>
          <w:rFonts w:cs="Times New Roman"/>
          <w:b/>
          <w:bCs/>
          <w:lang w:eastAsia="sv-SE"/>
        </w:rPr>
        <w:t xml:space="preserve"> </w:t>
      </w:r>
      <w:r w:rsidRPr="005D3877">
        <w:rPr>
          <w:rFonts w:cs="Times New Roman"/>
          <w:b/>
          <w:bCs/>
          <w:lang w:eastAsia="sv-SE"/>
        </w:rPr>
        <w:tab/>
        <w:t>The number of reduced capability device types should be minimized and introduced only where essential to control UE accesses.</w:t>
      </w:r>
    </w:p>
    <w:p w14:paraId="6C3B7539" w14:textId="77777777" w:rsidR="004A1AF1" w:rsidRPr="004A1AF1" w:rsidRDefault="004A1AF1" w:rsidP="004A1AF1">
      <w:pPr>
        <w:jc w:val="both"/>
        <w:rPr>
          <w:rFonts w:cs="Times New Roman"/>
        </w:rPr>
      </w:pPr>
      <w:r w:rsidRPr="004A1AF1">
        <w:rPr>
          <w:rFonts w:cs="Times New Roman"/>
        </w:rPr>
        <w:t>A simple solution would be to define one device type as “reduced capability” and classify all use cases as such. However, there may be benefit in introducing an additional device type to allow for greater network/operator flexibility in access control. In order to minimize the number of overall device types as per agreement, it is proposed that two reduced capability device types would provide a reasonable trade-off.</w:t>
      </w:r>
    </w:p>
    <w:p w14:paraId="400D022B" w14:textId="77777777" w:rsidR="004A1AF1" w:rsidRPr="005D3877" w:rsidRDefault="004A1AF1" w:rsidP="004A1AF1">
      <w:pPr>
        <w:ind w:left="1440" w:hanging="1440"/>
        <w:jc w:val="both"/>
        <w:rPr>
          <w:rFonts w:cs="Times New Roman"/>
          <w:b/>
          <w:bCs/>
          <w:lang w:eastAsia="sv-SE"/>
        </w:rPr>
      </w:pPr>
      <w:r w:rsidRPr="005D3877">
        <w:rPr>
          <w:rFonts w:cs="Times New Roman"/>
          <w:b/>
          <w:bCs/>
          <w:u w:val="single"/>
          <w:lang w:eastAsia="sv-SE"/>
        </w:rPr>
        <w:t>Observation 3:</w:t>
      </w:r>
      <w:r w:rsidRPr="005D3877">
        <w:rPr>
          <w:rFonts w:cs="Times New Roman"/>
          <w:b/>
          <w:bCs/>
          <w:lang w:eastAsia="sv-SE"/>
        </w:rPr>
        <w:t xml:space="preserve"> </w:t>
      </w:r>
      <w:r w:rsidRPr="005D3877">
        <w:rPr>
          <w:rFonts w:cs="Times New Roman"/>
          <w:b/>
          <w:bCs/>
          <w:lang w:eastAsia="sv-SE"/>
        </w:rPr>
        <w:tab/>
        <w:t>Introducing more than one reduced capability device type would provide greater flexibility to the network during access control.</w:t>
      </w:r>
    </w:p>
    <w:p w14:paraId="4E190C34" w14:textId="77777777" w:rsidR="004A1AF1" w:rsidRPr="004A1AF1" w:rsidRDefault="004A1AF1" w:rsidP="004A1AF1">
      <w:pPr>
        <w:jc w:val="both"/>
        <w:rPr>
          <w:rFonts w:cs="Times New Roman"/>
          <w:b/>
          <w:lang w:eastAsia="sv-SE"/>
        </w:rPr>
      </w:pPr>
      <w:r w:rsidRPr="004A1AF1">
        <w:rPr>
          <w:rFonts w:cs="Times New Roman"/>
          <w:b/>
          <w:lang w:eastAsia="sv-SE"/>
        </w:rPr>
        <w:t xml:space="preserve">Proposal 1: </w:t>
      </w:r>
      <w:r w:rsidRPr="004A1AF1">
        <w:rPr>
          <w:rFonts w:cs="Times New Roman"/>
          <w:b/>
          <w:lang w:eastAsia="sv-SE"/>
        </w:rPr>
        <w:tab/>
        <w:t>Two reduced capability device types are introduced.</w:t>
      </w:r>
    </w:p>
    <w:p w14:paraId="31F605E7" w14:textId="77777777" w:rsidR="004A1AF1" w:rsidRPr="004A1AF1" w:rsidRDefault="004A1AF1" w:rsidP="004A1AF1">
      <w:pPr>
        <w:jc w:val="both"/>
        <w:rPr>
          <w:rFonts w:cs="Times New Roman"/>
          <w:lang w:eastAsia="sv-SE"/>
        </w:rPr>
      </w:pPr>
      <w:r w:rsidRPr="004A1AF1">
        <w:rPr>
          <w:rFonts w:cs="Times New Roman"/>
          <w:lang w:eastAsia="sv-SE"/>
        </w:rPr>
        <w:t>There are several ways in which these two device types can be defined. Two such ways mentioned in earlier discussion are based on frequency band (e.g. “FR1” and “FR2”) or based on service requirements (e.g. “high end” and “low end”). Given the strenuous requirements on battery life i.e. wearables target a battery life of up to 1-2 weeks and industrial wireless sensors on the order of at least a few years, the use of FR2 for reduced capability UEs would be impractical in most scenarios.</w:t>
      </w:r>
    </w:p>
    <w:p w14:paraId="464D2EAF" w14:textId="77777777" w:rsidR="004A1AF1" w:rsidRPr="005D3877" w:rsidRDefault="004A1AF1" w:rsidP="004A1AF1">
      <w:pPr>
        <w:ind w:left="1440" w:hanging="1440"/>
        <w:jc w:val="both"/>
        <w:rPr>
          <w:rFonts w:cs="Times New Roman"/>
          <w:b/>
          <w:bCs/>
          <w:lang w:eastAsia="sv-SE"/>
        </w:rPr>
      </w:pPr>
      <w:r w:rsidRPr="005D3877">
        <w:rPr>
          <w:rFonts w:cs="Times New Roman"/>
          <w:b/>
          <w:bCs/>
          <w:u w:val="single"/>
          <w:lang w:eastAsia="sv-SE"/>
        </w:rPr>
        <w:t>Observation 4:</w:t>
      </w:r>
      <w:r w:rsidRPr="005D3877">
        <w:rPr>
          <w:rFonts w:cs="Times New Roman"/>
          <w:b/>
          <w:bCs/>
          <w:lang w:eastAsia="sv-SE"/>
        </w:rPr>
        <w:t xml:space="preserve"> </w:t>
      </w:r>
      <w:r w:rsidRPr="005D3877">
        <w:rPr>
          <w:rFonts w:cs="Times New Roman"/>
          <w:b/>
          <w:bCs/>
          <w:lang w:eastAsia="sv-SE"/>
        </w:rPr>
        <w:tab/>
        <w:t>Device types may be defined via frequency band. However, given battery life requirements of up to a few years, the use of FR2 for reduced capability UEs is limited.</w:t>
      </w:r>
    </w:p>
    <w:p w14:paraId="1A04B928" w14:textId="77777777" w:rsidR="004A1AF1" w:rsidRPr="004A1AF1" w:rsidRDefault="004A1AF1" w:rsidP="004A1AF1">
      <w:pPr>
        <w:jc w:val="both"/>
        <w:rPr>
          <w:rFonts w:cs="Times New Roman"/>
          <w:lang w:eastAsia="sv-SE"/>
        </w:rPr>
      </w:pPr>
      <w:r w:rsidRPr="004A1AF1">
        <w:rPr>
          <w:rFonts w:cs="Times New Roman"/>
          <w:lang w:eastAsia="sv-SE"/>
        </w:rPr>
        <w:t xml:space="preserve">Alternatively, by providing two different device type categories based on service requirements (i.e. high-end and low-end devices), the network will be able to prioritize a subset of reduced capability UEs. This would be useful, for example, in wearables where the device may be monitoring a vital heath metric and may need prioritized access. This would also allow a more future-proof framework than just one device type for reduced capability. Once this classification of device type has been agreed, RAN1 may define the composition of L1 capabilities associated with each device type category. </w:t>
      </w:r>
    </w:p>
    <w:p w14:paraId="423FF53E" w14:textId="77777777" w:rsidR="004A1AF1" w:rsidRPr="004A1AF1" w:rsidRDefault="004A1AF1" w:rsidP="004A1AF1">
      <w:pPr>
        <w:ind w:left="1440" w:hanging="1440"/>
        <w:jc w:val="both"/>
        <w:rPr>
          <w:rFonts w:cs="Times New Roman"/>
          <w:b/>
          <w:lang w:eastAsia="sv-SE"/>
        </w:rPr>
      </w:pPr>
      <w:r w:rsidRPr="004A1AF1">
        <w:rPr>
          <w:rFonts w:cs="Times New Roman"/>
          <w:b/>
          <w:lang w:eastAsia="sv-SE"/>
        </w:rPr>
        <w:t xml:space="preserve">Proposal 2: </w:t>
      </w:r>
      <w:r w:rsidRPr="004A1AF1">
        <w:rPr>
          <w:rFonts w:cs="Times New Roman"/>
          <w:b/>
          <w:lang w:eastAsia="sv-SE"/>
        </w:rPr>
        <w:tab/>
        <w:t>The two reduced capability device types are defined as “high end” and “low end”. FFS the exact composition of the set of L1 capabilities of the respective device types.</w:t>
      </w:r>
    </w:p>
    <w:p w14:paraId="5A43234E" w14:textId="5082C63C" w:rsidR="00402580" w:rsidRPr="004A1AF1" w:rsidRDefault="00402580" w:rsidP="00402580"/>
    <w:p w14:paraId="73A555FC" w14:textId="6FC8E088"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46F292B1" w14:textId="77777777" w:rsidR="001610EF" w:rsidRDefault="001610EF" w:rsidP="001610EF">
      <w:pPr>
        <w:tabs>
          <w:tab w:val="left" w:pos="0"/>
        </w:tabs>
      </w:pPr>
      <w:r>
        <w:t>In this contribution the following observations and proposals were made concerning device type definition for reduced capability UEs:</w:t>
      </w:r>
    </w:p>
    <w:p w14:paraId="62F25FA6" w14:textId="77777777" w:rsidR="001610EF" w:rsidRPr="001610EF" w:rsidRDefault="001610EF" w:rsidP="001610EF">
      <w:pPr>
        <w:ind w:left="1440" w:hanging="1440"/>
        <w:rPr>
          <w:b/>
          <w:bCs/>
          <w:lang w:eastAsia="sv-SE"/>
        </w:rPr>
      </w:pPr>
      <w:r w:rsidRPr="001610EF">
        <w:rPr>
          <w:b/>
          <w:bCs/>
          <w:u w:val="single"/>
          <w:lang w:eastAsia="sv-SE"/>
        </w:rPr>
        <w:t>Observation 1:</w:t>
      </w:r>
      <w:r w:rsidRPr="001610EF">
        <w:rPr>
          <w:b/>
          <w:bCs/>
          <w:lang w:eastAsia="sv-SE"/>
        </w:rPr>
        <w:t xml:space="preserve"> </w:t>
      </w:r>
      <w:r w:rsidRPr="001610EF">
        <w:rPr>
          <w:b/>
          <w:bCs/>
          <w:lang w:eastAsia="sv-SE"/>
        </w:rPr>
        <w:tab/>
        <w:t>The ability to identify and possibly restrict access to reduced capability UEs during initial access is an important tool for load control.</w:t>
      </w:r>
    </w:p>
    <w:p w14:paraId="074C4ADC" w14:textId="77777777" w:rsidR="001610EF" w:rsidRPr="001610EF" w:rsidRDefault="001610EF" w:rsidP="001610EF">
      <w:pPr>
        <w:ind w:left="1440" w:hanging="1440"/>
        <w:rPr>
          <w:b/>
          <w:bCs/>
          <w:lang w:eastAsia="sv-SE"/>
        </w:rPr>
      </w:pPr>
      <w:r w:rsidRPr="001610EF">
        <w:rPr>
          <w:b/>
          <w:bCs/>
          <w:u w:val="single"/>
          <w:lang w:eastAsia="sv-SE"/>
        </w:rPr>
        <w:t>Observation 2:</w:t>
      </w:r>
      <w:r w:rsidRPr="001610EF">
        <w:rPr>
          <w:b/>
          <w:bCs/>
          <w:lang w:eastAsia="sv-SE"/>
        </w:rPr>
        <w:t xml:space="preserve"> </w:t>
      </w:r>
      <w:r w:rsidRPr="001610EF">
        <w:rPr>
          <w:b/>
          <w:bCs/>
          <w:lang w:eastAsia="sv-SE"/>
        </w:rPr>
        <w:tab/>
        <w:t>The number of reduced capability device types should be minimized and introduced only where essential to control UE accesses.</w:t>
      </w:r>
    </w:p>
    <w:p w14:paraId="14E08E73" w14:textId="77777777" w:rsidR="001610EF" w:rsidRPr="001610EF" w:rsidRDefault="001610EF" w:rsidP="001610EF">
      <w:pPr>
        <w:ind w:left="1440" w:hanging="1440"/>
        <w:rPr>
          <w:b/>
          <w:bCs/>
          <w:lang w:eastAsia="sv-SE"/>
        </w:rPr>
      </w:pPr>
      <w:r w:rsidRPr="001610EF">
        <w:rPr>
          <w:b/>
          <w:bCs/>
          <w:u w:val="single"/>
          <w:lang w:eastAsia="sv-SE"/>
        </w:rPr>
        <w:t>Observation 3:</w:t>
      </w:r>
      <w:r w:rsidRPr="001610EF">
        <w:rPr>
          <w:b/>
          <w:bCs/>
          <w:lang w:eastAsia="sv-SE"/>
        </w:rPr>
        <w:t xml:space="preserve"> </w:t>
      </w:r>
      <w:r w:rsidRPr="001610EF">
        <w:rPr>
          <w:b/>
          <w:bCs/>
          <w:lang w:eastAsia="sv-SE"/>
        </w:rPr>
        <w:tab/>
        <w:t>Introducing more than one reduced capability device type would provide greater flexibility to the network during access control.</w:t>
      </w:r>
    </w:p>
    <w:p w14:paraId="05C591EB" w14:textId="77777777" w:rsidR="001610EF" w:rsidRPr="001610EF" w:rsidRDefault="001610EF" w:rsidP="001610EF">
      <w:pPr>
        <w:ind w:left="1440" w:hanging="1440"/>
        <w:rPr>
          <w:b/>
          <w:bCs/>
          <w:lang w:eastAsia="sv-SE"/>
        </w:rPr>
      </w:pPr>
      <w:r w:rsidRPr="001610EF">
        <w:rPr>
          <w:b/>
          <w:bCs/>
          <w:u w:val="single"/>
          <w:lang w:eastAsia="sv-SE"/>
        </w:rPr>
        <w:t>Observation 4:</w:t>
      </w:r>
      <w:r w:rsidRPr="001610EF">
        <w:rPr>
          <w:b/>
          <w:bCs/>
          <w:lang w:eastAsia="sv-SE"/>
        </w:rPr>
        <w:t xml:space="preserve"> </w:t>
      </w:r>
      <w:r w:rsidRPr="001610EF">
        <w:rPr>
          <w:b/>
          <w:bCs/>
          <w:lang w:eastAsia="sv-SE"/>
        </w:rPr>
        <w:tab/>
        <w:t>Device types may be defined via frequency band. However, given battery life requirements of up to a few years, the use of FR2 for reduced capability UEs is limited.</w:t>
      </w:r>
    </w:p>
    <w:p w14:paraId="077BAA6F" w14:textId="77777777" w:rsidR="001610EF" w:rsidRPr="001610EF" w:rsidRDefault="001610EF" w:rsidP="001610EF">
      <w:pPr>
        <w:ind w:left="1440" w:hanging="1440"/>
        <w:rPr>
          <w:b/>
          <w:bCs/>
          <w:lang w:eastAsia="sv-SE"/>
        </w:rPr>
      </w:pPr>
      <w:r w:rsidRPr="001610EF">
        <w:rPr>
          <w:b/>
          <w:bCs/>
          <w:lang w:eastAsia="sv-SE"/>
        </w:rPr>
        <w:t xml:space="preserve">Proposal 1: </w:t>
      </w:r>
      <w:r w:rsidRPr="001610EF">
        <w:rPr>
          <w:b/>
          <w:bCs/>
          <w:lang w:eastAsia="sv-SE"/>
        </w:rPr>
        <w:tab/>
        <w:t>Two reduced capability device types are introduced.</w:t>
      </w:r>
    </w:p>
    <w:p w14:paraId="2E46116F" w14:textId="77777777" w:rsidR="001610EF" w:rsidRPr="001610EF" w:rsidRDefault="001610EF" w:rsidP="001610EF">
      <w:pPr>
        <w:ind w:left="1440" w:hanging="1440"/>
        <w:rPr>
          <w:b/>
          <w:bCs/>
          <w:lang w:eastAsia="sv-SE"/>
        </w:rPr>
      </w:pPr>
      <w:r w:rsidRPr="001610EF">
        <w:rPr>
          <w:b/>
          <w:bCs/>
          <w:lang w:eastAsia="sv-SE"/>
        </w:rPr>
        <w:lastRenderedPageBreak/>
        <w:t xml:space="preserve">Proposal 2: </w:t>
      </w:r>
      <w:r w:rsidRPr="001610EF">
        <w:rPr>
          <w:b/>
          <w:bCs/>
          <w:lang w:eastAsia="sv-SE"/>
        </w:rPr>
        <w:tab/>
        <w:t>The two reduced capability device types are defined as “high end” and “low end”. FFS the exact composition of the set of L1 capabilities of the respective device types.</w:t>
      </w:r>
    </w:p>
    <w:p w14:paraId="470408A8" w14:textId="00CCEBCD" w:rsidR="002E4F8E" w:rsidRPr="001610EF" w:rsidRDefault="002E4F8E" w:rsidP="00283C14">
      <w:pPr>
        <w:spacing w:line="22" w:lineRule="atLeast"/>
        <w:jc w:val="both"/>
        <w:rPr>
          <w:rFonts w:cs="Times New Roman"/>
          <w:lang w:eastAsia="zh-CN"/>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445F0D43" w14:textId="2B1F5FD4" w:rsidR="004B4728" w:rsidRDefault="00C771F0" w:rsidP="008A2C13">
      <w:pPr>
        <w:numPr>
          <w:ilvl w:val="0"/>
          <w:numId w:val="19"/>
        </w:numPr>
        <w:overflowPunct w:val="0"/>
        <w:autoSpaceDE w:val="0"/>
        <w:autoSpaceDN w:val="0"/>
        <w:adjustRightInd w:val="0"/>
        <w:ind w:left="284" w:hanging="284"/>
        <w:jc w:val="both"/>
        <w:textAlignment w:val="baseline"/>
      </w:pPr>
      <w:bookmarkStart w:id="1" w:name="_Ref382571130"/>
      <w:r>
        <w:t xml:space="preserve"> </w:t>
      </w:r>
      <w:r w:rsidR="008D00F0" w:rsidRPr="008D00F0">
        <w:t>RP-193238, “New SID on support of reduced capability NR devices”, Ericsson, RAN#</w:t>
      </w:r>
      <w:r w:rsidR="008D00F0">
        <w:t>8</w:t>
      </w:r>
      <w:bookmarkEnd w:id="1"/>
      <w:r w:rsidR="008D00F0">
        <w:t>6.</w:t>
      </w:r>
    </w:p>
    <w:p w14:paraId="7F70822B" w14:textId="10D10FF0" w:rsidR="004955DA" w:rsidRPr="004A1AF1" w:rsidRDefault="004955DA" w:rsidP="004955DA">
      <w:pPr>
        <w:numPr>
          <w:ilvl w:val="0"/>
          <w:numId w:val="19"/>
        </w:numPr>
        <w:overflowPunct w:val="0"/>
        <w:autoSpaceDE w:val="0"/>
        <w:autoSpaceDN w:val="0"/>
        <w:adjustRightInd w:val="0"/>
        <w:spacing w:line="240" w:lineRule="auto"/>
        <w:ind w:left="284" w:hanging="284"/>
        <w:jc w:val="both"/>
        <w:textAlignment w:val="baseline"/>
      </w:pPr>
      <w:bookmarkStart w:id="2" w:name="_Hlk53759397"/>
      <w:r>
        <w:rPr>
          <w:rFonts w:eastAsia="Arial Unicode MS" w:cs="Times New Roman"/>
        </w:rPr>
        <w:t xml:space="preserve"> </w:t>
      </w:r>
      <w:r w:rsidRPr="0020665C">
        <w:rPr>
          <w:rFonts w:eastAsia="Arial Unicode MS" w:cs="Times New Roman"/>
        </w:rPr>
        <w:t>Chairman’s Notes, 3GPP WG1 #10</w:t>
      </w:r>
      <w:r>
        <w:rPr>
          <w:rFonts w:eastAsia="Arial Unicode MS" w:cs="Times New Roman"/>
        </w:rPr>
        <w:t>2</w:t>
      </w:r>
      <w:r w:rsidRPr="0020665C">
        <w:rPr>
          <w:rFonts w:eastAsia="Arial Unicode MS" w:cs="Times New Roman"/>
        </w:rPr>
        <w:t>-e</w:t>
      </w:r>
      <w:bookmarkEnd w:id="2"/>
      <w:r>
        <w:rPr>
          <w:rFonts w:eastAsia="Arial Unicode MS" w:cs="Times New Roman"/>
        </w:rPr>
        <w:t>.</w:t>
      </w:r>
    </w:p>
    <w:p w14:paraId="7605095C" w14:textId="28F8CDC6" w:rsidR="004A1AF1" w:rsidRPr="009902E7" w:rsidRDefault="004A1AF1" w:rsidP="004A1AF1">
      <w:pPr>
        <w:pStyle w:val="Reference"/>
        <w:numPr>
          <w:ilvl w:val="0"/>
          <w:numId w:val="19"/>
        </w:numPr>
        <w:overflowPunct w:val="0"/>
        <w:autoSpaceDE w:val="0"/>
        <w:autoSpaceDN w:val="0"/>
        <w:adjustRightInd w:val="0"/>
        <w:spacing w:line="240" w:lineRule="auto"/>
        <w:jc w:val="both"/>
        <w:textAlignment w:val="baseline"/>
      </w:pPr>
      <w:r>
        <w:t>Draft_RAN2_111-e_Meeting_Report_v1</w:t>
      </w:r>
      <w:r w:rsidR="00204D77">
        <w:t>.</w:t>
      </w:r>
    </w:p>
    <w:p w14:paraId="3F5D369D" w14:textId="77777777" w:rsidR="004A1AF1" w:rsidRPr="00CB33AF" w:rsidRDefault="004A1AF1" w:rsidP="004A1AF1">
      <w:pPr>
        <w:overflowPunct w:val="0"/>
        <w:autoSpaceDE w:val="0"/>
        <w:autoSpaceDN w:val="0"/>
        <w:adjustRightInd w:val="0"/>
        <w:spacing w:line="240" w:lineRule="auto"/>
        <w:jc w:val="both"/>
        <w:textAlignment w:val="baseline"/>
      </w:pPr>
    </w:p>
    <w:p w14:paraId="6DAC20BA" w14:textId="77777777" w:rsidR="004955DA" w:rsidRDefault="004955DA" w:rsidP="004955DA">
      <w:pPr>
        <w:overflowPunct w:val="0"/>
        <w:autoSpaceDE w:val="0"/>
        <w:autoSpaceDN w:val="0"/>
        <w:adjustRightInd w:val="0"/>
        <w:jc w:val="both"/>
        <w:textAlignment w:val="baseline"/>
      </w:pPr>
    </w:p>
    <w:p w14:paraId="34709803" w14:textId="72C1C1C2" w:rsidR="00413821" w:rsidRPr="008A2C13" w:rsidRDefault="00413821" w:rsidP="00CD628B">
      <w:pPr>
        <w:overflowPunct w:val="0"/>
        <w:autoSpaceDE w:val="0"/>
        <w:autoSpaceDN w:val="0"/>
        <w:adjustRightInd w:val="0"/>
        <w:ind w:left="284"/>
        <w:jc w:val="both"/>
        <w:textAlignment w:val="baseline"/>
      </w:pPr>
    </w:p>
    <w:sectPr w:rsidR="00413821" w:rsidRPr="008A2C1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608F2" w14:textId="77777777" w:rsidR="00CB3AA2" w:rsidRDefault="00CB3AA2">
      <w:r>
        <w:separator/>
      </w:r>
    </w:p>
  </w:endnote>
  <w:endnote w:type="continuationSeparator" w:id="0">
    <w:p w14:paraId="38C56118" w14:textId="77777777" w:rsidR="00CB3AA2" w:rsidRDefault="00CB3AA2">
      <w:r>
        <w:continuationSeparator/>
      </w:r>
    </w:p>
  </w:endnote>
  <w:endnote w:type="continuationNotice" w:id="1">
    <w:p w14:paraId="0A53417F" w14:textId="77777777" w:rsidR="00CB3AA2" w:rsidRDefault="00CB3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E106F" w14:textId="77777777" w:rsidR="00CB3AA2" w:rsidRDefault="00CB3AA2">
      <w:r>
        <w:separator/>
      </w:r>
    </w:p>
  </w:footnote>
  <w:footnote w:type="continuationSeparator" w:id="0">
    <w:p w14:paraId="02959DEC" w14:textId="77777777" w:rsidR="00CB3AA2" w:rsidRDefault="00CB3AA2">
      <w:r>
        <w:continuationSeparator/>
      </w:r>
    </w:p>
  </w:footnote>
  <w:footnote w:type="continuationNotice" w:id="1">
    <w:p w14:paraId="3BC8EE6F" w14:textId="77777777" w:rsidR="00CB3AA2" w:rsidRDefault="00CB3A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D06"/>
    <w:multiLevelType w:val="multilevel"/>
    <w:tmpl w:val="D46CF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03E48E5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49450F"/>
    <w:multiLevelType w:val="hybridMultilevel"/>
    <w:tmpl w:val="4634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1321" w:hanging="360"/>
      </w:pPr>
      <w:rPr>
        <w:rFonts w:ascii="Symbol" w:hAnsi="Symbol" w:hint="default"/>
      </w:rPr>
    </w:lvl>
    <w:lvl w:ilvl="1" w:tplc="040B0003">
      <w:start w:val="1"/>
      <w:numFmt w:val="bullet"/>
      <w:lvlText w:val="o"/>
      <w:lvlJc w:val="left"/>
      <w:pPr>
        <w:ind w:left="-601" w:hanging="360"/>
      </w:pPr>
      <w:rPr>
        <w:rFonts w:ascii="Courier New" w:hAnsi="Courier New" w:cs="Courier New" w:hint="default"/>
      </w:rPr>
    </w:lvl>
    <w:lvl w:ilvl="2" w:tplc="040B0005" w:tentative="1">
      <w:start w:val="1"/>
      <w:numFmt w:val="bullet"/>
      <w:lvlText w:val=""/>
      <w:lvlJc w:val="left"/>
      <w:pPr>
        <w:ind w:left="119" w:hanging="360"/>
      </w:pPr>
      <w:rPr>
        <w:rFonts w:ascii="Wingdings" w:hAnsi="Wingdings" w:hint="default"/>
      </w:rPr>
    </w:lvl>
    <w:lvl w:ilvl="3" w:tplc="040B0001" w:tentative="1">
      <w:start w:val="1"/>
      <w:numFmt w:val="bullet"/>
      <w:lvlText w:val=""/>
      <w:lvlJc w:val="left"/>
      <w:pPr>
        <w:ind w:left="839" w:hanging="360"/>
      </w:pPr>
      <w:rPr>
        <w:rFonts w:ascii="Symbol" w:hAnsi="Symbol" w:hint="default"/>
      </w:rPr>
    </w:lvl>
    <w:lvl w:ilvl="4" w:tplc="040B0003" w:tentative="1">
      <w:start w:val="1"/>
      <w:numFmt w:val="bullet"/>
      <w:lvlText w:val="o"/>
      <w:lvlJc w:val="left"/>
      <w:pPr>
        <w:ind w:left="1559" w:hanging="360"/>
      </w:pPr>
      <w:rPr>
        <w:rFonts w:ascii="Courier New" w:hAnsi="Courier New" w:cs="Courier New" w:hint="default"/>
      </w:rPr>
    </w:lvl>
    <w:lvl w:ilvl="5" w:tplc="040B0005" w:tentative="1">
      <w:start w:val="1"/>
      <w:numFmt w:val="bullet"/>
      <w:lvlText w:val=""/>
      <w:lvlJc w:val="left"/>
      <w:pPr>
        <w:ind w:left="2279" w:hanging="360"/>
      </w:pPr>
      <w:rPr>
        <w:rFonts w:ascii="Wingdings" w:hAnsi="Wingdings" w:hint="default"/>
      </w:rPr>
    </w:lvl>
    <w:lvl w:ilvl="6" w:tplc="040B0001" w:tentative="1">
      <w:start w:val="1"/>
      <w:numFmt w:val="bullet"/>
      <w:lvlText w:val=""/>
      <w:lvlJc w:val="left"/>
      <w:pPr>
        <w:ind w:left="2999" w:hanging="360"/>
      </w:pPr>
      <w:rPr>
        <w:rFonts w:ascii="Symbol" w:hAnsi="Symbol" w:hint="default"/>
      </w:rPr>
    </w:lvl>
    <w:lvl w:ilvl="7" w:tplc="040B0003" w:tentative="1">
      <w:start w:val="1"/>
      <w:numFmt w:val="bullet"/>
      <w:lvlText w:val="o"/>
      <w:lvlJc w:val="left"/>
      <w:pPr>
        <w:ind w:left="3719" w:hanging="360"/>
      </w:pPr>
      <w:rPr>
        <w:rFonts w:ascii="Courier New" w:hAnsi="Courier New" w:cs="Courier New" w:hint="default"/>
      </w:rPr>
    </w:lvl>
    <w:lvl w:ilvl="8" w:tplc="040B0005" w:tentative="1">
      <w:start w:val="1"/>
      <w:numFmt w:val="bullet"/>
      <w:lvlText w:val=""/>
      <w:lvlJc w:val="left"/>
      <w:pPr>
        <w:ind w:left="4439" w:hanging="360"/>
      </w:pPr>
      <w:rPr>
        <w:rFonts w:ascii="Wingdings" w:hAnsi="Wingdings" w:hint="default"/>
      </w:rPr>
    </w:lvl>
  </w:abstractNum>
  <w:abstractNum w:abstractNumId="6" w15:restartNumberingAfterBreak="0">
    <w:nsid w:val="18EF4B3B"/>
    <w:multiLevelType w:val="hybridMultilevel"/>
    <w:tmpl w:val="BD9A37BA"/>
    <w:lvl w:ilvl="0" w:tplc="991078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0E339D"/>
    <w:multiLevelType w:val="multilevel"/>
    <w:tmpl w:val="AAB0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A2C13"/>
    <w:multiLevelType w:val="hybridMultilevel"/>
    <w:tmpl w:val="35962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3ED01C8"/>
    <w:multiLevelType w:val="multilevel"/>
    <w:tmpl w:val="FC30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009B0"/>
    <w:multiLevelType w:val="hybridMultilevel"/>
    <w:tmpl w:val="A0C8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0428B"/>
    <w:multiLevelType w:val="hybridMultilevel"/>
    <w:tmpl w:val="43126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F0AC4"/>
    <w:multiLevelType w:val="hybridMultilevel"/>
    <w:tmpl w:val="962A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18"/>
  </w:num>
  <w:num w:numId="4">
    <w:abstractNumId w:val="20"/>
  </w:num>
  <w:num w:numId="5">
    <w:abstractNumId w:val="14"/>
  </w:num>
  <w:num w:numId="6">
    <w:abstractNumId w:val="23"/>
  </w:num>
  <w:num w:numId="7">
    <w:abstractNumId w:val="29"/>
  </w:num>
  <w:num w:numId="8">
    <w:abstractNumId w:val="15"/>
  </w:num>
  <w:num w:numId="9">
    <w:abstractNumId w:val="37"/>
  </w:num>
  <w:num w:numId="10">
    <w:abstractNumId w:val="17"/>
    <w:lvlOverride w:ilvl="0">
      <w:startOverride w:val="1"/>
    </w:lvlOverride>
  </w:num>
  <w:num w:numId="11">
    <w:abstractNumId w:val="25"/>
  </w:num>
  <w:num w:numId="12">
    <w:abstractNumId w:val="5"/>
  </w:num>
  <w:num w:numId="13">
    <w:abstractNumId w:val="19"/>
  </w:num>
  <w:num w:numId="14">
    <w:abstractNumId w:val="4"/>
  </w:num>
  <w:num w:numId="15">
    <w:abstractNumId w:val="8"/>
  </w:num>
  <w:num w:numId="16">
    <w:abstractNumId w:val="31"/>
  </w:num>
  <w:num w:numId="17">
    <w:abstractNumId w:val="32"/>
  </w:num>
  <w:num w:numId="18">
    <w:abstractNumId w:val="22"/>
  </w:num>
  <w:num w:numId="19">
    <w:abstractNumId w:val="3"/>
  </w:num>
  <w:num w:numId="20">
    <w:abstractNumId w:val="21"/>
  </w:num>
  <w:num w:numId="21">
    <w:abstractNumId w:val="1"/>
  </w:num>
  <w:num w:numId="22">
    <w:abstractNumId w:val="1"/>
  </w:num>
  <w:num w:numId="23">
    <w:abstractNumId w:val="24"/>
  </w:num>
  <w:num w:numId="24">
    <w:abstractNumId w:val="7"/>
  </w:num>
  <w:num w:numId="25">
    <w:abstractNumId w:val="28"/>
  </w:num>
  <w:num w:numId="26">
    <w:abstractNumId w:val="12"/>
  </w:num>
  <w:num w:numId="27">
    <w:abstractNumId w:val="36"/>
  </w:num>
  <w:num w:numId="28">
    <w:abstractNumId w:val="35"/>
  </w:num>
  <w:num w:numId="29">
    <w:abstractNumId w:val="16"/>
  </w:num>
  <w:num w:numId="30">
    <w:abstractNumId w:val="30"/>
  </w:num>
  <w:num w:numId="31">
    <w:abstractNumId w:val="34"/>
  </w:num>
  <w:num w:numId="32">
    <w:abstractNumId w:val="13"/>
  </w:num>
  <w:num w:numId="33">
    <w:abstractNumId w:val="1"/>
  </w:num>
  <w:num w:numId="34">
    <w:abstractNumId w:val="1"/>
  </w:num>
  <w:num w:numId="35">
    <w:abstractNumId w:val="0"/>
  </w:num>
  <w:num w:numId="36">
    <w:abstractNumId w:val="11"/>
  </w:num>
  <w:num w:numId="37">
    <w:abstractNumId w:val="9"/>
  </w:num>
  <w:num w:numId="38">
    <w:abstractNumId w:val="33"/>
  </w:num>
  <w:num w:numId="39">
    <w:abstractNumId w:val="2"/>
  </w:num>
  <w:num w:numId="40">
    <w:abstractNumId w:val="27"/>
  </w:num>
  <w:num w:numId="41">
    <w:abstractNumId w:val="10"/>
  </w:num>
  <w:num w:numId="4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0A3"/>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E"/>
    <w:rsid w:val="00110EBC"/>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39BD"/>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3FE"/>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406"/>
    <w:rsid w:val="00156A2E"/>
    <w:rsid w:val="00156DC4"/>
    <w:rsid w:val="00157A90"/>
    <w:rsid w:val="00157B7B"/>
    <w:rsid w:val="00157E00"/>
    <w:rsid w:val="00157F10"/>
    <w:rsid w:val="0016036A"/>
    <w:rsid w:val="00160461"/>
    <w:rsid w:val="001610EF"/>
    <w:rsid w:val="00162135"/>
    <w:rsid w:val="001629FC"/>
    <w:rsid w:val="00162BD1"/>
    <w:rsid w:val="00162C4C"/>
    <w:rsid w:val="00163554"/>
    <w:rsid w:val="00163DB5"/>
    <w:rsid w:val="00163FBD"/>
    <w:rsid w:val="00164016"/>
    <w:rsid w:val="00164913"/>
    <w:rsid w:val="0016571F"/>
    <w:rsid w:val="001659C1"/>
    <w:rsid w:val="0016660C"/>
    <w:rsid w:val="001669BD"/>
    <w:rsid w:val="0016726A"/>
    <w:rsid w:val="00167359"/>
    <w:rsid w:val="00167A2F"/>
    <w:rsid w:val="00170B00"/>
    <w:rsid w:val="001711A9"/>
    <w:rsid w:val="00171478"/>
    <w:rsid w:val="00171E9B"/>
    <w:rsid w:val="00171FAE"/>
    <w:rsid w:val="0017254A"/>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0E5"/>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196"/>
    <w:rsid w:val="00190AC1"/>
    <w:rsid w:val="00191EFF"/>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1ED"/>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D77"/>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5632"/>
    <w:rsid w:val="00235677"/>
    <w:rsid w:val="00235872"/>
    <w:rsid w:val="00235CAB"/>
    <w:rsid w:val="00235DAD"/>
    <w:rsid w:val="00236099"/>
    <w:rsid w:val="00236493"/>
    <w:rsid w:val="0023684E"/>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5AC0"/>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685"/>
    <w:rsid w:val="002D5933"/>
    <w:rsid w:val="002D5BFA"/>
    <w:rsid w:val="002D6218"/>
    <w:rsid w:val="002D6B9B"/>
    <w:rsid w:val="002D6E41"/>
    <w:rsid w:val="002D7637"/>
    <w:rsid w:val="002D7A15"/>
    <w:rsid w:val="002D7BDB"/>
    <w:rsid w:val="002E010F"/>
    <w:rsid w:val="002E0765"/>
    <w:rsid w:val="002E0B37"/>
    <w:rsid w:val="002E0B70"/>
    <w:rsid w:val="002E0BEF"/>
    <w:rsid w:val="002E17F2"/>
    <w:rsid w:val="002E1D24"/>
    <w:rsid w:val="002E1EFB"/>
    <w:rsid w:val="002E2A11"/>
    <w:rsid w:val="002E2B4D"/>
    <w:rsid w:val="002E368E"/>
    <w:rsid w:val="002E3791"/>
    <w:rsid w:val="002E4943"/>
    <w:rsid w:val="002E4F8E"/>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1E3"/>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864"/>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0C37"/>
    <w:rsid w:val="00402353"/>
    <w:rsid w:val="0040255D"/>
    <w:rsid w:val="00402580"/>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21"/>
    <w:rsid w:val="0041384A"/>
    <w:rsid w:val="00413AAC"/>
    <w:rsid w:val="00414AB1"/>
    <w:rsid w:val="00414C64"/>
    <w:rsid w:val="00414D54"/>
    <w:rsid w:val="00415426"/>
    <w:rsid w:val="00415E8A"/>
    <w:rsid w:val="00415EB0"/>
    <w:rsid w:val="004167C6"/>
    <w:rsid w:val="00416DDF"/>
    <w:rsid w:val="00416EC3"/>
    <w:rsid w:val="004179F7"/>
    <w:rsid w:val="00420180"/>
    <w:rsid w:val="00420230"/>
    <w:rsid w:val="00420A99"/>
    <w:rsid w:val="00421105"/>
    <w:rsid w:val="004214FA"/>
    <w:rsid w:val="00421616"/>
    <w:rsid w:val="0042167F"/>
    <w:rsid w:val="00421F66"/>
    <w:rsid w:val="00422D12"/>
    <w:rsid w:val="004234DB"/>
    <w:rsid w:val="004234E7"/>
    <w:rsid w:val="00423704"/>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58F"/>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A20"/>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55DA"/>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1AF1"/>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500"/>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F9F"/>
    <w:rsid w:val="0055688F"/>
    <w:rsid w:val="005574AF"/>
    <w:rsid w:val="005577C0"/>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35E"/>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877"/>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663"/>
    <w:rsid w:val="005E4FCF"/>
    <w:rsid w:val="005E53B7"/>
    <w:rsid w:val="005E5895"/>
    <w:rsid w:val="005E5B81"/>
    <w:rsid w:val="005E6492"/>
    <w:rsid w:val="005E7122"/>
    <w:rsid w:val="005E75AF"/>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9FD"/>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3DC0"/>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93"/>
    <w:rsid w:val="00645482"/>
    <w:rsid w:val="00645C2B"/>
    <w:rsid w:val="00645D49"/>
    <w:rsid w:val="0064624E"/>
    <w:rsid w:val="0064647E"/>
    <w:rsid w:val="006466F9"/>
    <w:rsid w:val="00646703"/>
    <w:rsid w:val="006467BB"/>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28F1"/>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F53"/>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BBA"/>
    <w:rsid w:val="006C4E5C"/>
    <w:rsid w:val="006C5181"/>
    <w:rsid w:val="006C545C"/>
    <w:rsid w:val="006C54D5"/>
    <w:rsid w:val="006C58DF"/>
    <w:rsid w:val="006C59FF"/>
    <w:rsid w:val="006C5B25"/>
    <w:rsid w:val="006C5EC9"/>
    <w:rsid w:val="006C6059"/>
    <w:rsid w:val="006C63EB"/>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02A"/>
    <w:rsid w:val="007614DE"/>
    <w:rsid w:val="007619D7"/>
    <w:rsid w:val="00761C8C"/>
    <w:rsid w:val="007623FB"/>
    <w:rsid w:val="0076319A"/>
    <w:rsid w:val="00763B30"/>
    <w:rsid w:val="00764724"/>
    <w:rsid w:val="00764AF3"/>
    <w:rsid w:val="007651FB"/>
    <w:rsid w:val="00765281"/>
    <w:rsid w:val="00766881"/>
    <w:rsid w:val="00766BAD"/>
    <w:rsid w:val="00770099"/>
    <w:rsid w:val="00770226"/>
    <w:rsid w:val="00771706"/>
    <w:rsid w:val="00771AA0"/>
    <w:rsid w:val="00771F31"/>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3D6"/>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AA0"/>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0C9"/>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13"/>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1EE7"/>
    <w:rsid w:val="008B2932"/>
    <w:rsid w:val="008B4535"/>
    <w:rsid w:val="008B45A3"/>
    <w:rsid w:val="008B4D4B"/>
    <w:rsid w:val="008B5156"/>
    <w:rsid w:val="008B51A0"/>
    <w:rsid w:val="008B592A"/>
    <w:rsid w:val="008B5D1A"/>
    <w:rsid w:val="008B6276"/>
    <w:rsid w:val="008B7465"/>
    <w:rsid w:val="008B7758"/>
    <w:rsid w:val="008B7B5C"/>
    <w:rsid w:val="008B7CAF"/>
    <w:rsid w:val="008C0174"/>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D76F5"/>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5F4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E2C"/>
    <w:rsid w:val="00933367"/>
    <w:rsid w:val="00933E80"/>
    <w:rsid w:val="00934396"/>
    <w:rsid w:val="009349BB"/>
    <w:rsid w:val="00934A4B"/>
    <w:rsid w:val="00935A7F"/>
    <w:rsid w:val="009408F8"/>
    <w:rsid w:val="00940C00"/>
    <w:rsid w:val="00941636"/>
    <w:rsid w:val="0094165A"/>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2B"/>
    <w:rsid w:val="009A747D"/>
    <w:rsid w:val="009A753B"/>
    <w:rsid w:val="009A755E"/>
    <w:rsid w:val="009B0D91"/>
    <w:rsid w:val="009B1244"/>
    <w:rsid w:val="009B1ADF"/>
    <w:rsid w:val="009B1B1A"/>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76F"/>
    <w:rsid w:val="00A02D6D"/>
    <w:rsid w:val="00A02FBF"/>
    <w:rsid w:val="00A0325B"/>
    <w:rsid w:val="00A03A96"/>
    <w:rsid w:val="00A04232"/>
    <w:rsid w:val="00A04367"/>
    <w:rsid w:val="00A043E4"/>
    <w:rsid w:val="00A047D2"/>
    <w:rsid w:val="00A048A8"/>
    <w:rsid w:val="00A04968"/>
    <w:rsid w:val="00A04DCB"/>
    <w:rsid w:val="00A05B47"/>
    <w:rsid w:val="00A06DB0"/>
    <w:rsid w:val="00A079D6"/>
    <w:rsid w:val="00A07FBE"/>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CAE"/>
    <w:rsid w:val="00A41E2B"/>
    <w:rsid w:val="00A42186"/>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6D62"/>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BC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640"/>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27AA"/>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5A52"/>
    <w:rsid w:val="00B46175"/>
    <w:rsid w:val="00B471A5"/>
    <w:rsid w:val="00B47435"/>
    <w:rsid w:val="00B477B8"/>
    <w:rsid w:val="00B47803"/>
    <w:rsid w:val="00B4791A"/>
    <w:rsid w:val="00B47C29"/>
    <w:rsid w:val="00B47D21"/>
    <w:rsid w:val="00B50916"/>
    <w:rsid w:val="00B50AA9"/>
    <w:rsid w:val="00B51008"/>
    <w:rsid w:val="00B51031"/>
    <w:rsid w:val="00B51D73"/>
    <w:rsid w:val="00B52318"/>
    <w:rsid w:val="00B5286A"/>
    <w:rsid w:val="00B53485"/>
    <w:rsid w:val="00B537CE"/>
    <w:rsid w:val="00B547C4"/>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E34"/>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1E5"/>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F63"/>
    <w:rsid w:val="00CB2067"/>
    <w:rsid w:val="00CB37DE"/>
    <w:rsid w:val="00CB3AA2"/>
    <w:rsid w:val="00CB4899"/>
    <w:rsid w:val="00CB4AFF"/>
    <w:rsid w:val="00CB4D5A"/>
    <w:rsid w:val="00CB4EF3"/>
    <w:rsid w:val="00CB63CF"/>
    <w:rsid w:val="00CB6855"/>
    <w:rsid w:val="00CB6997"/>
    <w:rsid w:val="00CB78A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28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D4B"/>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3C0"/>
    <w:rsid w:val="00D91078"/>
    <w:rsid w:val="00D9127D"/>
    <w:rsid w:val="00D91733"/>
    <w:rsid w:val="00D9196D"/>
    <w:rsid w:val="00D92036"/>
    <w:rsid w:val="00D92982"/>
    <w:rsid w:val="00D9383B"/>
    <w:rsid w:val="00D9396B"/>
    <w:rsid w:val="00D94059"/>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110B"/>
    <w:rsid w:val="00DE11C9"/>
    <w:rsid w:val="00DE1D9D"/>
    <w:rsid w:val="00DE1E23"/>
    <w:rsid w:val="00DE1E69"/>
    <w:rsid w:val="00DE1F4C"/>
    <w:rsid w:val="00DE23DC"/>
    <w:rsid w:val="00DE3510"/>
    <w:rsid w:val="00DE3A4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B9F"/>
    <w:rsid w:val="00DF5CEF"/>
    <w:rsid w:val="00DF5F19"/>
    <w:rsid w:val="00DF672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651"/>
    <w:rsid w:val="00E04BB2"/>
    <w:rsid w:val="00E05500"/>
    <w:rsid w:val="00E060FC"/>
    <w:rsid w:val="00E068E9"/>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3EA7"/>
    <w:rsid w:val="00E3484E"/>
    <w:rsid w:val="00E34B6E"/>
    <w:rsid w:val="00E35236"/>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6A77"/>
    <w:rsid w:val="00E66A97"/>
    <w:rsid w:val="00E67C51"/>
    <w:rsid w:val="00E67C6C"/>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145"/>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7FA"/>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4CFB"/>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438"/>
    <w:rsid w:val="00F674B2"/>
    <w:rsid w:val="00F67E37"/>
    <w:rsid w:val="00F67F53"/>
    <w:rsid w:val="00F70104"/>
    <w:rsid w:val="00F703BE"/>
    <w:rsid w:val="00F706AB"/>
    <w:rsid w:val="00F71F69"/>
    <w:rsid w:val="00F72126"/>
    <w:rsid w:val="00F72B72"/>
    <w:rsid w:val="00F73595"/>
    <w:rsid w:val="00F7375A"/>
    <w:rsid w:val="00F745E4"/>
    <w:rsid w:val="00F74BB9"/>
    <w:rsid w:val="00F75582"/>
    <w:rsid w:val="00F755A8"/>
    <w:rsid w:val="00F75791"/>
    <w:rsid w:val="00F75A12"/>
    <w:rsid w:val="00F7663B"/>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556E"/>
    <w:rsid w:val="00F95D4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1D3A"/>
    <w:rsid w:val="00FB2011"/>
    <w:rsid w:val="00FB250B"/>
    <w:rsid w:val="00FB26DB"/>
    <w:rsid w:val="00FB3344"/>
    <w:rsid w:val="00FB3775"/>
    <w:rsid w:val="00FB3CA6"/>
    <w:rsid w:val="00FB413D"/>
    <w:rsid w:val="00FB4C80"/>
    <w:rsid w:val="00FB5944"/>
    <w:rsid w:val="00FB5AE1"/>
    <w:rsid w:val="00FB6087"/>
    <w:rsid w:val="00FB66F4"/>
    <w:rsid w:val="00FB6BA8"/>
    <w:rsid w:val="00FB7389"/>
    <w:rsid w:val="00FB7986"/>
    <w:rsid w:val="00FC0B9E"/>
    <w:rsid w:val="00FC186B"/>
    <w:rsid w:val="00FC1DCB"/>
    <w:rsid w:val="00FC2019"/>
    <w:rsid w:val="00FC2E17"/>
    <w:rsid w:val="00FC3355"/>
    <w:rsid w:val="00FC3620"/>
    <w:rsid w:val="00FC4002"/>
    <w:rsid w:val="00FC4B11"/>
    <w:rsid w:val="00FC4B8F"/>
    <w:rsid w:val="00FC5231"/>
    <w:rsid w:val="00FC58D4"/>
    <w:rsid w:val="00FC5A27"/>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CB2"/>
    <w:rsid w:val="00FF1F6E"/>
    <w:rsid w:val="00FF302A"/>
    <w:rsid w:val="00FF310E"/>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D77"/>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04D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4D7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A60FD"/>
    <w:pPr>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cs="Times New Roman"/>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DefaultParagraphFont"/>
    <w:rsid w:val="00400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5369858">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2020-10-16T22:49:00Z</dcterms:created>
  <dcterms:modified xsi:type="dcterms:W3CDTF">2020-10-16T23:15:00Z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